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23" w:rsidRPr="000138E7" w:rsidRDefault="009D5423" w:rsidP="009D5423">
      <w:pPr>
        <w:spacing w:line="276" w:lineRule="auto"/>
        <w:jc w:val="center"/>
        <w:rPr>
          <w:b/>
          <w:bCs/>
        </w:rPr>
      </w:pPr>
      <w:r w:rsidRPr="000138E7">
        <w:rPr>
          <w:b/>
          <w:bCs/>
        </w:rPr>
        <w:t>Комплексно-тематическое планирование</w:t>
      </w:r>
      <w:r>
        <w:rPr>
          <w:b/>
          <w:bCs/>
        </w:rPr>
        <w:t xml:space="preserve"> в средней группе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268"/>
        <w:gridCol w:w="4027"/>
        <w:gridCol w:w="2601"/>
      </w:tblGrid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Тема 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Цель 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Мероприятие 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>Сентябрь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1.</w:t>
            </w:r>
          </w:p>
          <w:p w:rsidR="009D5423" w:rsidRPr="000138E7" w:rsidRDefault="009D5423" w:rsidP="002D49E0">
            <w:pPr>
              <w:spacing w:line="276" w:lineRule="auto"/>
              <w:jc w:val="center"/>
            </w:pPr>
          </w:p>
          <w:p w:rsidR="009D5423" w:rsidRPr="000138E7" w:rsidRDefault="009D5423" w:rsidP="002D49E0">
            <w:pPr>
              <w:spacing w:line="276" w:lineRule="auto"/>
              <w:jc w:val="center"/>
            </w:pPr>
          </w:p>
          <w:p w:rsidR="009D5423" w:rsidRPr="000138E7" w:rsidRDefault="009D5423" w:rsidP="002D49E0">
            <w:pPr>
              <w:spacing w:line="276" w:lineRule="auto"/>
              <w:jc w:val="center"/>
            </w:pPr>
          </w:p>
          <w:p w:rsidR="009D5423" w:rsidRPr="000138E7" w:rsidRDefault="009D5423" w:rsidP="002D49E0">
            <w:pPr>
              <w:spacing w:line="276" w:lineRule="auto"/>
              <w:jc w:val="center"/>
            </w:pPr>
          </w:p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День знаний</w:t>
            </w: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Формировать первичные представления о школе; развивать у детей познавательную мотивацию, интерес к школе, книге.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Развлечение «День знаний в детском саду»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Формировать дружеские, доброжелательные отношения между детьми. Продолжить знакомить с детским садом как ближайшим социальным окружением ребёнка.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Развлечение «От улыбки станет всем светлей»</w:t>
            </w: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Осень золотая</w:t>
            </w:r>
          </w:p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Расширять знания детей об осени; развивать умение устанавливать простейшие связи между явлениями живой и неживой природы.</w:t>
            </w:r>
          </w:p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Праздничное представление «Осенний лес полон чудес…»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Витамины на грядке и на дереве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Расширять представления о сельскохозяйственных профессиях; расширять знания об овощах и фруктах.</w:t>
            </w:r>
          </w:p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Спортивная игра «Путешествие за витаминами»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>Октябрь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Осень в мире животных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Закреплять представление детей о том, как похолодание и сокращение продолжительности дня влияет на животных и птиц; знакомить детей с тем, как некоторые животные и птицы готовятся к зиме.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Экологическая викторина «В мире животных»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Расширять представления детей о самих себе, о своей семье; закреплять знания детьми домашнего адреса, имён и отчеств родителей, их профессий; расширять знания о том, как важен для общества их труд.</w:t>
            </w:r>
          </w:p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Спортивный досуг «Мама, папа я – спортивная семья»</w:t>
            </w:r>
          </w:p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Мой город, моя страна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 xml:space="preserve">Продолжить формировать интерес к «малой» Родине; рассказывать детям о достопримечательностях. культуре, традициях родного края; о замечательных людях, </w:t>
            </w:r>
            <w:r w:rsidRPr="000138E7">
              <w:rPr>
                <w:rFonts w:ascii="Times New Roman" w:hAnsi="Times New Roman"/>
                <w:sz w:val="24"/>
                <w:szCs w:val="24"/>
              </w:rPr>
              <w:lastRenderedPageBreak/>
              <w:t>прославивших свой край.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Экологическая викторина «Перелетные птицы»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Наши птицы</w:t>
            </w:r>
          </w:p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Расширять у детей знания и представления о птицах. Их приспособлении к среде обитания.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Развешивание кормушек. Подкормка птиц.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3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День народного единства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Расширять представление о родной стране, о государственных праздниках; вызвать интерес к истории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3"/>
              <w:spacing w:line="276" w:lineRule="auto"/>
              <w:rPr>
                <w:b/>
                <w:bCs/>
              </w:rPr>
            </w:pPr>
            <w:r w:rsidRPr="000138E7">
              <w:t>Праздник, посвященный «Дню народного единства».</w:t>
            </w:r>
          </w:p>
          <w:p w:rsidR="009D5423" w:rsidRPr="000138E7" w:rsidRDefault="009D5423" w:rsidP="002D49E0">
            <w:pPr>
              <w:spacing w:line="276" w:lineRule="auto"/>
            </w:pP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3"/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3"/>
              <w:spacing w:line="276" w:lineRule="auto"/>
            </w:pPr>
            <w:r w:rsidRPr="000138E7">
              <w:t>Мой город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Знакомить детей с родным городом, основными достопримечательностями.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3"/>
              <w:spacing w:line="276" w:lineRule="auto"/>
            </w:pPr>
            <w:r w:rsidRPr="000138E7">
              <w:t>Фотовыставка «Мой город»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Знакомство детей с домом, предметами домашнего обихода (мебель, бытовые приборы)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>
              <w:t>Выставка рисунков «Мой</w:t>
            </w:r>
            <w:r w:rsidRPr="000138E7">
              <w:t xml:space="preserve"> родной дом»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Моя любимая мама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Воспитывать заботливое, внимательное отношение к маме; уточнить и расширить знания о понятии «семья»; сформировать осознанное понимание значимости матерей в жизни детей, семьи, общества.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Оформление выставки: «Самые обаятельные и привлекательные».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Декабрь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«Здравствуй, гостья Зима»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Продолжать знакомить детей с зимой как временем года; расширять и обогащать знания детей об особенностях зимней природы (холода, снегопады, сильные ветры), об особенностях деятельности людей в городе, селе.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«Поэзия о зиме»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«Зимующие птицы»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Организовать с детьми наблюдения за птицами на улице и на участке детского сада; побуждать детей рассматривать и сравнивать следы птиц на снегу.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Конкурс рисунков «Красивые птички»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3-4.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 xml:space="preserve">«Новый год» 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Привлекать к активному разнообразному участию в подготовке к празднику и его проведению; воспитывать чувство удовлетворения от участия в коллективной деятельности; вызвать положительное отношение к предстоящему празднику.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Выставка семейного творчества «Новогодняя игрушка»</w:t>
            </w:r>
          </w:p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  <w:r w:rsidRPr="000138E7">
              <w:t>Новогодний утренник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Январь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Рождество</w:t>
            </w:r>
          </w:p>
          <w:p w:rsidR="009D5423" w:rsidRPr="000138E7" w:rsidRDefault="009D5423" w:rsidP="002D49E0">
            <w:pPr>
              <w:spacing w:line="276" w:lineRule="auto"/>
              <w:jc w:val="center"/>
            </w:pPr>
          </w:p>
          <w:p w:rsidR="009D5423" w:rsidRPr="000138E7" w:rsidRDefault="009D5423" w:rsidP="002D49E0">
            <w:pPr>
              <w:spacing w:line="276" w:lineRule="auto"/>
              <w:jc w:val="center"/>
            </w:pP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lastRenderedPageBreak/>
              <w:t xml:space="preserve">Знакомить с Рождеством, обычаем. </w:t>
            </w:r>
            <w:r w:rsidRPr="000138E7">
              <w:lastRenderedPageBreak/>
              <w:t>Формировать представления детей о народном празднике. Знакомить с зимними забавами, играми, колядками.</w:t>
            </w:r>
          </w:p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lastRenderedPageBreak/>
              <w:t xml:space="preserve">«Рождественские </w:t>
            </w:r>
            <w:r w:rsidRPr="000138E7">
              <w:lastRenderedPageBreak/>
              <w:t>развлечения» - музыкально – спортивное мероприятие.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lastRenderedPageBreak/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«Зимние забавы»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Развивать двигательную активность детей как один из основных факторов, стимулирующих их физическое, эмоциональное и интеллектуальное развитие.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Спортивное развлечение «В гостях у Зимушки - зимы».</w:t>
            </w:r>
          </w:p>
          <w:p w:rsidR="009D5423" w:rsidRPr="000138E7" w:rsidRDefault="009D5423" w:rsidP="002D49E0">
            <w:pPr>
              <w:spacing w:line="276" w:lineRule="auto"/>
            </w:pP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«Одежда, обувь, головные уборы»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Расширить представление детей о вещах: одежде, обуви, головных уборах и их предназначении. Дать первичные представления о ткани и её свойствах. 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Выставка моделей одежды.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Февраль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«Грузовой и пассажирский транспорт»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Познакомить детей с видами транспорта, закрепить знания составных частях машины, о грузах, которые перевозят водители на грузовом транспорте, развивать умение имитировать заданный образ.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Коллаж «Транспорт»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«Азбука безопасности»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Расширить представление о здоровье и здоровом образе жизни, воспитывать стремление вести здоровый образ жизни.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Спортивное мероприятие «Правила дорожного движения»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«23 февраля»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Продолжать формировать представления детей об особенностях военной службы (солдаты тренируются, чтобы быть сильными, умелыми, учатся метко стрелять, преодолевать препятствия и т.д.). Воспитывать чувство гордости за свою армию; вызвать желание быть похожими на сильных, смелых российских воинов.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Праздник, посвященный дню Защитников Отечества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«Масленица»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Приобщать детей к истокам русской культуры. Знакомить детей с народными традициями и обычаями. Расширять представление об искусстве, традициях и обычаях народов России. Продолжать знакомить детей с народными </w:t>
            </w:r>
            <w:r w:rsidRPr="000138E7">
              <w:lastRenderedPageBreak/>
              <w:t>песнями, плясками.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lastRenderedPageBreak/>
              <w:t>Уличный праздник «Емеля и Масленичная неделя»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lastRenderedPageBreak/>
              <w:t xml:space="preserve">Март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3"/>
              <w:spacing w:line="276" w:lineRule="auto"/>
              <w:jc w:val="center"/>
              <w:rPr>
                <w:b/>
                <w:bCs/>
              </w:rPr>
            </w:pPr>
            <w:r w:rsidRPr="000138E7">
              <w:t>«Международный женский день»</w:t>
            </w:r>
          </w:p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Организовать все виды деятельности вокруг темы семьи, любви к маме, бабушке, воспитателям, привлекать детей к изготовлению подарков маме, бабушке.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3"/>
              <w:spacing w:line="276" w:lineRule="auto"/>
            </w:pPr>
            <w:r w:rsidRPr="000138E7">
              <w:t>Утренник, посвященный 8 Марта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pStyle w:val="a3"/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E7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pStyle w:val="a3"/>
              <w:spacing w:line="276" w:lineRule="auto"/>
            </w:pPr>
            <w:r w:rsidRPr="000138E7">
              <w:t>Уточнить и расширить знания детей о домашних животных (внешний вид, образ жизни, питание, название детёнышей), их роль в жизни людей.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pStyle w:val="a3"/>
              <w:spacing w:line="276" w:lineRule="auto"/>
              <w:rPr>
                <w:b/>
                <w:bCs/>
              </w:rPr>
            </w:pPr>
            <w:r w:rsidRPr="000138E7">
              <w:t>«В гостях у бабушки»</w:t>
            </w:r>
          </w:p>
          <w:p w:rsidR="009D5423" w:rsidRPr="000138E7" w:rsidRDefault="009D5423" w:rsidP="002D49E0">
            <w:pPr>
              <w:pStyle w:val="a3"/>
              <w:spacing w:line="276" w:lineRule="auto"/>
              <w:jc w:val="center"/>
            </w:pP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«Первые проталинки»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Формировать у детей обобщённые представления о весне как времени года; расширять знания о характерных признаках весны.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 Развлечение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>
              <w:t>«Волшебница вода»</w:t>
            </w:r>
            <w:r w:rsidRPr="000138E7">
              <w:t xml:space="preserve"> 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>
              <w:t>формирование знания о значении воды в жизни человека, животных и растений, формировать бережное отношение к воде.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>
              <w:t>Викторина: «Волшебница вода»</w:t>
            </w: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Апрель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«Деревья, какие они»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Формировать у детей обобщённое представление к окружающему миру.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Развлечение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«День космонавтики»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Развивать навыки творческого рассказывания, придерживаться избранной линии в творческом рассказывании. Формировать навыки выражения своего мнения. Совершенствовать у детей понятие «Космос», объяснить, что собой представляет «Солнечная система». Воспитывать у детей уважение к труду людей, связанных с освоением космоса. Воспитывать интерес, развивать память, воображение.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Музыкально-литературное развлечение «Мечтают мальчишки взлететь на луну»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«Дикие животные»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Продолжить знакомить детей с дикими животными (внешний вид, образ жизни, питание, название детёнышей)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Физкультурно- речевой досуг для детей и родителей по теме «Дикие животные»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«Перелётные птицы»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Продолжать знакомить детей с перелётными птицами.</w:t>
            </w:r>
          </w:p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</w:tc>
      </w:tr>
      <w:tr w:rsidR="009D5423" w:rsidRPr="000138E7" w:rsidTr="002D49E0"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  <w:rPr>
                <w:b/>
                <w:bCs/>
              </w:rPr>
            </w:pPr>
            <w:r w:rsidRPr="000138E7">
              <w:rPr>
                <w:b/>
                <w:bCs/>
              </w:rPr>
              <w:t xml:space="preserve">Май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1.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День Победы.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Формирование представлений о </w:t>
            </w:r>
            <w:r w:rsidRPr="000138E7">
              <w:lastRenderedPageBreak/>
              <w:t>празднике - Дне Победы. Воспитание чувства гордости за своих дедушек, победивших в этой жестокой войне. Воспитывать любовь к Родине.</w:t>
            </w:r>
          </w:p>
          <w:p w:rsidR="009D5423" w:rsidRPr="000138E7" w:rsidRDefault="009D5423" w:rsidP="002D49E0">
            <w:pPr>
              <w:spacing w:line="276" w:lineRule="auto"/>
            </w:pP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lastRenderedPageBreak/>
              <w:t xml:space="preserve">Музыкальное </w:t>
            </w:r>
            <w:r w:rsidRPr="000138E7">
              <w:lastRenderedPageBreak/>
              <w:t>мероприятие, посвящённое Дню Победы.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lastRenderedPageBreak/>
              <w:t>2.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«Всё начинается с семени»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Формировать представление детей о работах, проводимых в весенний период в саду и огороде, учить наблюдать за посадкой и всходами семян, привлекать детей к работам в огороде и цветниках.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Развлечение </w:t>
            </w: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3.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«Первоцветы»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 xml:space="preserve">Закрепить знания детей о цветах как представителях флоры Земли, их красоте и пользе. </w:t>
            </w:r>
          </w:p>
          <w:p w:rsidR="009D5423" w:rsidRPr="000138E7" w:rsidRDefault="009D5423" w:rsidP="002D49E0">
            <w:pPr>
              <w:spacing w:line="276" w:lineRule="auto"/>
            </w:pPr>
            <w:r w:rsidRPr="000138E7">
              <w:t>Дать детям представление о первоцветах.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</w:p>
          <w:p w:rsidR="009D5423" w:rsidRPr="000138E7" w:rsidRDefault="009D5423" w:rsidP="002D49E0">
            <w:pPr>
              <w:spacing w:line="276" w:lineRule="auto"/>
            </w:pPr>
          </w:p>
        </w:tc>
      </w:tr>
      <w:tr w:rsidR="009D5423" w:rsidRPr="000138E7" w:rsidTr="002D49E0">
        <w:tc>
          <w:tcPr>
            <w:tcW w:w="675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4.</w:t>
            </w:r>
          </w:p>
        </w:tc>
        <w:tc>
          <w:tcPr>
            <w:tcW w:w="2268" w:type="dxa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В гости к лету</w:t>
            </w:r>
          </w:p>
        </w:tc>
        <w:tc>
          <w:tcPr>
            <w:tcW w:w="4027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Уточнять и закреплять представления детей об изменениях, происходящих в природе летом; закреплять приметы лета, названия летних месяцев; воспитывать бережное отношение к окружающей природе.</w:t>
            </w:r>
          </w:p>
        </w:tc>
        <w:tc>
          <w:tcPr>
            <w:tcW w:w="2601" w:type="dxa"/>
          </w:tcPr>
          <w:p w:rsidR="009D5423" w:rsidRPr="000138E7" w:rsidRDefault="009D5423" w:rsidP="002D49E0">
            <w:pPr>
              <w:spacing w:line="276" w:lineRule="auto"/>
            </w:pPr>
            <w:r w:rsidRPr="000138E7">
              <w:t>Музыкальное развлечение</w:t>
            </w:r>
          </w:p>
        </w:tc>
      </w:tr>
      <w:tr w:rsidR="009D5423" w:rsidRPr="000138E7" w:rsidTr="002D49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1" w:type="dxa"/>
            <w:gridSpan w:val="4"/>
          </w:tcPr>
          <w:p w:rsidR="009D5423" w:rsidRPr="000138E7" w:rsidRDefault="009D5423" w:rsidP="002D49E0">
            <w:pPr>
              <w:spacing w:line="276" w:lineRule="auto"/>
              <w:jc w:val="center"/>
            </w:pPr>
            <w:r w:rsidRPr="000138E7">
              <w:t>В летний период учреждение работает в каникулярном режиме (июнь-август)</w:t>
            </w:r>
          </w:p>
        </w:tc>
      </w:tr>
    </w:tbl>
    <w:p w:rsidR="003B3DAE" w:rsidRDefault="003B3DAE"/>
    <w:sectPr w:rsidR="003B3DAE" w:rsidSect="003B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5423"/>
    <w:rsid w:val="003B3DAE"/>
    <w:rsid w:val="009D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D5423"/>
    <w:pPr>
      <w:suppressLineNumbers/>
    </w:pPr>
  </w:style>
  <w:style w:type="paragraph" w:styleId="a4">
    <w:name w:val="No Spacing"/>
    <w:link w:val="a5"/>
    <w:qFormat/>
    <w:rsid w:val="009D5423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a5">
    <w:name w:val="Без интервала Знак"/>
    <w:link w:val="a4"/>
    <w:locked/>
    <w:rsid w:val="009D5423"/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6379</Characters>
  <Application>Microsoft Office Word</Application>
  <DocSecurity>0</DocSecurity>
  <Lines>53</Lines>
  <Paragraphs>14</Paragraphs>
  <ScaleCrop>false</ScaleCrop>
  <Company>Microsoft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2021-06-09T16:37:00Z</dcterms:created>
  <dcterms:modified xsi:type="dcterms:W3CDTF">2021-06-09T16:37:00Z</dcterms:modified>
</cp:coreProperties>
</file>